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1832"/>
        <w:spacing w:before="124" w:line="218" w:lineRule="auto"/>
        <w:rPr/>
      </w:pPr>
      <w:r>
        <w:rPr>
          <w:b/>
          <w:bCs/>
          <w:spacing w:val="-4"/>
        </w:rPr>
        <w:t>朴石宁选盛泉套利</w:t>
      </w:r>
      <w:r>
        <w:rPr>
          <w:spacing w:val="-51"/>
        </w:rPr>
        <w:t xml:space="preserve"> </w:t>
      </w:r>
      <w:r>
        <w:rPr>
          <w:b/>
          <w:bCs/>
          <w:spacing w:val="-4"/>
        </w:rPr>
        <w:t>FOF1</w:t>
      </w:r>
      <w:r>
        <w:rPr>
          <w:spacing w:val="-36"/>
        </w:rPr>
        <w:t xml:space="preserve"> </w:t>
      </w:r>
      <w:r>
        <w:rPr>
          <w:b/>
          <w:bCs/>
          <w:spacing w:val="-4"/>
        </w:rPr>
        <w:t>号私募证券投资基金</w:t>
      </w:r>
    </w:p>
    <w:p>
      <w:pPr>
        <w:pStyle w:val="BodyText"/>
        <w:ind w:left="3233"/>
        <w:spacing w:before="184" w:line="217" w:lineRule="auto"/>
        <w:rPr/>
      </w:pPr>
      <w:r>
        <w:rPr>
          <w:b/>
          <w:bCs/>
          <w:spacing w:val="-6"/>
        </w:rPr>
        <w:t>即将停止申购通知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31"/>
        <w:spacing w:before="78" w:line="217" w:lineRule="auto"/>
        <w:rPr/>
      </w:pPr>
      <w:r>
        <w:rPr>
          <w:spacing w:val="-8"/>
        </w:rPr>
        <w:t>各位份额持有人：</w:t>
      </w:r>
    </w:p>
    <w:p>
      <w:pPr>
        <w:pStyle w:val="BodyText"/>
        <w:ind w:left="30" w:right="11" w:firstLine="480"/>
        <w:spacing w:before="186" w:line="360" w:lineRule="auto"/>
        <w:jc w:val="both"/>
        <w:rPr/>
      </w:pPr>
      <w:r>
        <w:rPr>
          <w:spacing w:val="-4"/>
        </w:rPr>
        <w:t>根据《私募证券投资基金运作指引》第四条规定：“私募证券投资基金上一</w:t>
      </w:r>
      <w:r>
        <w:rPr>
          <w:spacing w:val="16"/>
        </w:rPr>
        <w:t xml:space="preserve"> </w:t>
      </w:r>
      <w:r>
        <w:rPr>
          <w:spacing w:val="-2"/>
        </w:rPr>
        <w:t>年度日均基金资产净值低于</w:t>
      </w:r>
      <w:r>
        <w:rPr>
          <w:spacing w:val="-39"/>
        </w:rPr>
        <w:t xml:space="preserve"> </w:t>
      </w:r>
      <w:r>
        <w:rPr>
          <w:spacing w:val="-2"/>
        </w:rPr>
        <w:t>500</w:t>
      </w:r>
      <w:r>
        <w:rPr>
          <w:spacing w:val="-35"/>
        </w:rPr>
        <w:t xml:space="preserve"> </w:t>
      </w:r>
      <w:r>
        <w:rPr>
          <w:spacing w:val="-2"/>
        </w:rPr>
        <w:t>万元，或者连续</w:t>
      </w:r>
      <w:r>
        <w:rPr>
          <w:spacing w:val="-42"/>
        </w:rPr>
        <w:t xml:space="preserve"> </w:t>
      </w:r>
      <w:r>
        <w:rPr>
          <w:spacing w:val="-2"/>
        </w:rPr>
        <w:t>60</w:t>
      </w:r>
      <w:r>
        <w:rPr>
          <w:spacing w:val="-36"/>
        </w:rPr>
        <w:t xml:space="preserve"> </w:t>
      </w:r>
      <w:r>
        <w:rPr>
          <w:spacing w:val="-2"/>
        </w:rPr>
        <w:t>个交易日</w:t>
      </w:r>
      <w:r>
        <w:rPr>
          <w:spacing w:val="-3"/>
        </w:rPr>
        <w:t>出现基金资产净值</w:t>
      </w:r>
      <w:r>
        <w:rPr/>
        <w:t xml:space="preserve"> </w:t>
      </w:r>
      <w:r>
        <w:rPr>
          <w:spacing w:val="-5"/>
        </w:rPr>
        <w:t>低于</w:t>
      </w:r>
      <w:r>
        <w:rPr>
          <w:spacing w:val="-41"/>
        </w:rPr>
        <w:t xml:space="preserve"> </w:t>
      </w:r>
      <w:r>
        <w:rPr>
          <w:spacing w:val="-5"/>
        </w:rPr>
        <w:t>500</w:t>
      </w:r>
      <w:r>
        <w:rPr>
          <w:spacing w:val="-42"/>
        </w:rPr>
        <w:t xml:space="preserve"> </w:t>
      </w:r>
      <w:r>
        <w:rPr>
          <w:spacing w:val="-5"/>
        </w:rPr>
        <w:t>万元情形的，应当停止申购并在</w:t>
      </w:r>
      <w:r>
        <w:rPr>
          <w:spacing w:val="-46"/>
        </w:rPr>
        <w:t xml:space="preserve"> </w:t>
      </w:r>
      <w:r>
        <w:rPr>
          <w:spacing w:val="-5"/>
        </w:rPr>
        <w:t>5</w:t>
      </w:r>
      <w:r>
        <w:rPr>
          <w:spacing w:val="-43"/>
        </w:rPr>
        <w:t xml:space="preserve"> </w:t>
      </w:r>
      <w:r>
        <w:rPr>
          <w:spacing w:val="-5"/>
        </w:rPr>
        <w:t>个工作日内向投资者披露；停止申购</w:t>
      </w:r>
      <w:r>
        <w:rPr/>
        <w:t xml:space="preserve"> </w:t>
      </w:r>
      <w:r>
        <w:rPr>
          <w:spacing w:val="-5"/>
        </w:rPr>
        <w:t>后连续</w:t>
      </w:r>
      <w:r>
        <w:rPr>
          <w:spacing w:val="-34"/>
        </w:rPr>
        <w:t xml:space="preserve"> </w:t>
      </w:r>
      <w:r>
        <w:rPr>
          <w:spacing w:val="-5"/>
        </w:rPr>
        <w:t>120</w:t>
      </w:r>
      <w:r>
        <w:rPr>
          <w:spacing w:val="-43"/>
        </w:rPr>
        <w:t xml:space="preserve"> </w:t>
      </w:r>
      <w:r>
        <w:rPr>
          <w:spacing w:val="-5"/>
        </w:rPr>
        <w:t>个交易日基金资产净值仍低于</w:t>
      </w:r>
      <w:r>
        <w:rPr>
          <w:spacing w:val="-46"/>
        </w:rPr>
        <w:t xml:space="preserve"> </w:t>
      </w:r>
      <w:r>
        <w:rPr>
          <w:spacing w:val="-5"/>
        </w:rPr>
        <w:t>500</w:t>
      </w:r>
      <w:r>
        <w:rPr>
          <w:spacing w:val="-42"/>
        </w:rPr>
        <w:t xml:space="preserve"> </w:t>
      </w:r>
      <w:r>
        <w:rPr>
          <w:spacing w:val="-5"/>
        </w:rPr>
        <w:t>万元的，应当进入清算程序。</w:t>
      </w:r>
      <w:r>
        <w:rPr>
          <w:spacing w:val="-6"/>
        </w:rPr>
        <w:t>私募</w:t>
      </w:r>
      <w:r>
        <w:rPr/>
        <w:t xml:space="preserve"> </w:t>
      </w:r>
      <w:r>
        <w:rPr>
          <w:spacing w:val="4"/>
        </w:rPr>
        <w:t>基金托管人应当配合执行并督促私募基金管理人及时按要求办理基</w:t>
      </w:r>
      <w:r>
        <w:rPr>
          <w:spacing w:val="3"/>
        </w:rPr>
        <w:t>金清算等事</w:t>
      </w:r>
      <w:r>
        <w:rPr/>
        <w:t xml:space="preserve"> </w:t>
      </w:r>
      <w:r>
        <w:rPr>
          <w:spacing w:val="-6"/>
        </w:rPr>
        <w:t>宜。”</w:t>
      </w:r>
    </w:p>
    <w:p>
      <w:pPr>
        <w:pStyle w:val="BodyText"/>
        <w:ind w:left="31" w:right="12" w:firstLine="479"/>
        <w:spacing w:line="360" w:lineRule="auto"/>
        <w:jc w:val="both"/>
        <w:rPr/>
      </w:pPr>
      <w:r>
        <w:rPr>
          <w:spacing w:val="-5"/>
        </w:rPr>
        <w:t>本基金即将连续</w:t>
      </w:r>
      <w:r>
        <w:rPr>
          <w:spacing w:val="-25"/>
        </w:rPr>
        <w:t xml:space="preserve"> </w:t>
      </w:r>
      <w:r>
        <w:rPr>
          <w:spacing w:val="-5"/>
        </w:rPr>
        <w:t>60</w:t>
      </w:r>
      <w:r>
        <w:rPr>
          <w:spacing w:val="-5"/>
        </w:rPr>
        <w:t xml:space="preserve"> </w:t>
      </w:r>
      <w:r>
        <w:rPr>
          <w:spacing w:val="-5"/>
        </w:rPr>
        <w:t>个交易日出现基金资产净值低于</w:t>
      </w:r>
      <w:r>
        <w:rPr>
          <w:spacing w:val="-5"/>
        </w:rPr>
        <w:t xml:space="preserve"> </w:t>
      </w:r>
      <w:r>
        <w:rPr>
          <w:spacing w:val="-5"/>
        </w:rPr>
        <w:t>500</w:t>
      </w:r>
      <w:r>
        <w:rPr>
          <w:spacing w:val="-5"/>
        </w:rPr>
        <w:t xml:space="preserve"> </w:t>
      </w:r>
      <w:r>
        <w:rPr>
          <w:spacing w:val="-5"/>
        </w:rPr>
        <w:t>万元，</w:t>
      </w:r>
      <w:r>
        <w:rPr>
          <w:spacing w:val="-6"/>
        </w:rPr>
        <w:t>自</w:t>
      </w:r>
      <w:r>
        <w:rPr>
          <w:spacing w:val="-6"/>
        </w:rPr>
        <w:t xml:space="preserve"> </w:t>
      </w:r>
      <w:r>
        <w:rPr>
          <w:spacing w:val="-6"/>
        </w:rPr>
        <w:t>2025</w:t>
      </w:r>
      <w:r>
        <w:rPr>
          <w:spacing w:val="-6"/>
        </w:rPr>
        <w:t xml:space="preserve"> </w:t>
      </w:r>
      <w:r>
        <w:rPr>
          <w:spacing w:val="-6"/>
        </w:rPr>
        <w:t>年</w:t>
      </w:r>
      <w:r>
        <w:rPr/>
        <w:t xml:space="preserve"> </w:t>
      </w:r>
      <w:r>
        <w:rPr>
          <w:spacing w:val="-5"/>
        </w:rPr>
        <w:t>10</w:t>
      </w:r>
      <w:r>
        <w:rPr>
          <w:spacing w:val="-33"/>
        </w:rPr>
        <w:t xml:space="preserve"> </w:t>
      </w:r>
      <w:r>
        <w:rPr>
          <w:spacing w:val="-5"/>
        </w:rPr>
        <w:t>月</w:t>
      </w:r>
      <w:r>
        <w:rPr>
          <w:spacing w:val="-48"/>
        </w:rPr>
        <w:t xml:space="preserve"> </w:t>
      </w:r>
      <w:r>
        <w:rPr>
          <w:spacing w:val="-5"/>
        </w:rPr>
        <w:t>23</w:t>
      </w:r>
      <w:r>
        <w:rPr>
          <w:spacing w:val="-5"/>
        </w:rPr>
        <w:t xml:space="preserve"> </w:t>
      </w:r>
      <w:r>
        <w:rPr>
          <w:spacing w:val="-5"/>
        </w:rPr>
        <w:t>日起产品</w:t>
      </w:r>
      <w:r>
        <w:rPr>
          <w:b/>
          <w:bCs/>
          <w:spacing w:val="-5"/>
        </w:rPr>
        <w:t>停止申购</w:t>
      </w:r>
      <w:r>
        <w:rPr>
          <w:spacing w:val="-5"/>
        </w:rPr>
        <w:t>。如后续停止申购后连续</w:t>
      </w:r>
      <w:r>
        <w:rPr>
          <w:spacing w:val="-34"/>
        </w:rPr>
        <w:t xml:space="preserve"> </w:t>
      </w:r>
      <w:r>
        <w:rPr>
          <w:spacing w:val="-6"/>
        </w:rPr>
        <w:t>120</w:t>
      </w:r>
      <w:r>
        <w:rPr>
          <w:spacing w:val="-43"/>
        </w:rPr>
        <w:t xml:space="preserve"> </w:t>
      </w:r>
      <w:r>
        <w:rPr>
          <w:spacing w:val="-6"/>
        </w:rPr>
        <w:t>个交易日基金资产净值</w:t>
      </w:r>
      <w:r>
        <w:rPr/>
        <w:t xml:space="preserve"> </w:t>
      </w:r>
      <w:r>
        <w:rPr>
          <w:spacing w:val="-4"/>
        </w:rPr>
        <w:t>仍低于</w:t>
      </w:r>
      <w:r>
        <w:rPr>
          <w:spacing w:val="-33"/>
        </w:rPr>
        <w:t xml:space="preserve"> </w:t>
      </w:r>
      <w:r>
        <w:rPr>
          <w:spacing w:val="-4"/>
        </w:rPr>
        <w:t>500</w:t>
      </w:r>
      <w:r>
        <w:rPr>
          <w:spacing w:val="-42"/>
        </w:rPr>
        <w:t xml:space="preserve"> </w:t>
      </w:r>
      <w:r>
        <w:rPr>
          <w:spacing w:val="-4"/>
        </w:rPr>
        <w:t>万元的，</w:t>
      </w:r>
      <w:r>
        <w:rPr>
          <w:b/>
          <w:bCs/>
          <w:spacing w:val="-4"/>
        </w:rPr>
        <w:t>应当进入清算程序</w:t>
      </w:r>
      <w:r>
        <w:rPr>
          <w:spacing w:val="-4"/>
        </w:rPr>
        <w:t>。</w:t>
      </w:r>
    </w:p>
    <w:p>
      <w:pPr>
        <w:pStyle w:val="BodyText"/>
        <w:ind w:left="30" w:right="11" w:firstLine="486"/>
        <w:spacing w:before="3" w:line="360" w:lineRule="auto"/>
        <w:jc w:val="both"/>
        <w:rPr/>
      </w:pPr>
      <w:r>
        <w:rPr>
          <w:spacing w:val="-2"/>
        </w:rPr>
        <w:t>另外，根据合同条款规定“按成本计，投资于单支证券公司</w:t>
      </w:r>
      <w:r>
        <w:rPr>
          <w:spacing w:val="-55"/>
        </w:rPr>
        <w:t xml:space="preserve"> </w:t>
      </w:r>
      <w:r>
        <w:rPr>
          <w:spacing w:val="-2"/>
        </w:rPr>
        <w:t>(含证券公司子</w:t>
      </w:r>
      <w:r>
        <w:rPr/>
        <w:t xml:space="preserve"> </w:t>
      </w:r>
      <w:r>
        <w:rPr/>
        <w:t>公司)资产管理计划、期货公司(含期货公司子公司)资产管理计划、在基金业协</w:t>
      </w:r>
      <w:r>
        <w:rPr>
          <w:spacing w:val="7"/>
        </w:rPr>
        <w:t xml:space="preserve"> </w:t>
      </w:r>
      <w:r>
        <w:rPr>
          <w:spacing w:val="4"/>
        </w:rPr>
        <w:t>会登记的私募证券投资基金管理人发行并由具有证券投资基金托管</w:t>
      </w:r>
      <w:r>
        <w:rPr>
          <w:spacing w:val="3"/>
        </w:rPr>
        <w:t>资格的机构</w:t>
      </w:r>
      <w:r>
        <w:rPr/>
        <w:t xml:space="preserve"> </w:t>
      </w:r>
      <w:r>
        <w:rPr>
          <w:spacing w:val="-1"/>
        </w:rPr>
        <w:t>托管的契约式私募投资基金的金额，不得超过本基金资产净值的</w:t>
      </w:r>
      <w:r>
        <w:rPr>
          <w:spacing w:val="-1"/>
        </w:rPr>
        <w:t xml:space="preserve"> </w:t>
      </w:r>
      <w:r>
        <w:rPr>
          <w:spacing w:val="-1"/>
        </w:rPr>
        <w:t>30%;</w:t>
      </w:r>
      <w:r>
        <w:rPr>
          <w:spacing w:val="-72"/>
        </w:rPr>
        <w:t xml:space="preserve"> </w:t>
      </w:r>
      <w:r>
        <w:rPr>
          <w:spacing w:val="-1"/>
        </w:rPr>
        <w:t>”目前产</w:t>
      </w:r>
      <w:r>
        <w:rPr/>
        <w:t xml:space="preserve"> </w:t>
      </w:r>
      <w:r>
        <w:rPr>
          <w:spacing w:val="-1"/>
        </w:rPr>
        <w:t>品规模（236</w:t>
      </w:r>
      <w:r>
        <w:rPr>
          <w:spacing w:val="-42"/>
        </w:rPr>
        <w:t xml:space="preserve"> </w:t>
      </w:r>
      <w:r>
        <w:rPr>
          <w:spacing w:val="-1"/>
        </w:rPr>
        <w:t>万）无法继续下投，只能投资于现金管</w:t>
      </w:r>
      <w:r>
        <w:rPr>
          <w:spacing w:val="-2"/>
        </w:rPr>
        <w:t>理类资产。</w:t>
      </w:r>
    </w:p>
    <w:p>
      <w:pPr>
        <w:spacing w:line="384" w:lineRule="auto"/>
        <w:rPr>
          <w:rFonts w:ascii="Arial"/>
          <w:sz w:val="21"/>
        </w:rPr>
      </w:pPr>
      <w:r/>
    </w:p>
    <w:p>
      <w:pPr>
        <w:pStyle w:val="BodyText"/>
        <w:ind w:left="509"/>
        <w:spacing w:before="78" w:line="219" w:lineRule="auto"/>
        <w:rPr/>
      </w:pPr>
      <w:r>
        <w:rPr>
          <w:spacing w:val="-4"/>
        </w:rPr>
        <w:t>特此告知！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spacing w:before="79" w:line="218" w:lineRule="auto"/>
        <w:jc w:val="right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3613363</wp:posOffset>
            </wp:positionH>
            <wp:positionV relativeFrom="paragraph">
              <wp:posOffset>-423667</wp:posOffset>
            </wp:positionV>
            <wp:extent cx="1512447" cy="1512446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2447" cy="1512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基金管理人：上海朴石投资管理合伙企业（有限合伙</w:t>
      </w:r>
      <w:r>
        <w:rPr>
          <w:spacing w:val="-11"/>
        </w:rPr>
        <w:t>）（</w:t>
      </w:r>
      <w:r>
        <w:rPr>
          <w:spacing w:val="-5"/>
        </w:rPr>
        <w:t>公章）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spacing w:before="78" w:line="218" w:lineRule="auto"/>
        <w:jc w:val="right"/>
        <w:rPr/>
      </w:pPr>
      <w:r>
        <w:rPr>
          <w:spacing w:val="-15"/>
        </w:rPr>
        <w:t>2025</w:t>
      </w:r>
      <w:r>
        <w:rPr>
          <w:spacing w:val="-36"/>
        </w:rPr>
        <w:t xml:space="preserve"> </w:t>
      </w:r>
      <w:r>
        <w:rPr>
          <w:spacing w:val="-15"/>
        </w:rPr>
        <w:t>年</w:t>
      </w:r>
      <w:r>
        <w:rPr>
          <w:spacing w:val="-51"/>
        </w:rPr>
        <w:t xml:space="preserve"> </w:t>
      </w:r>
      <w:r>
        <w:rPr>
          <w:spacing w:val="-15"/>
        </w:rPr>
        <w:t>9</w:t>
      </w:r>
      <w:r>
        <w:rPr>
          <w:spacing w:val="-33"/>
        </w:rPr>
        <w:t xml:space="preserve"> </w:t>
      </w:r>
      <w:r>
        <w:rPr>
          <w:spacing w:val="-15"/>
        </w:rPr>
        <w:t>月</w:t>
      </w:r>
      <w:r>
        <w:rPr>
          <w:spacing w:val="-49"/>
        </w:rPr>
        <w:t xml:space="preserve"> </w:t>
      </w:r>
      <w:r>
        <w:rPr>
          <w:spacing w:val="-15"/>
        </w:rPr>
        <w:t>29</w:t>
      </w:r>
      <w:r>
        <w:rPr>
          <w:spacing w:val="7"/>
        </w:rPr>
        <w:t xml:space="preserve"> </w:t>
      </w:r>
      <w:r>
        <w:rPr>
          <w:spacing w:val="-15"/>
        </w:rPr>
        <w:t>日</w:t>
      </w:r>
    </w:p>
    <w:sectPr>
      <w:pgSz w:w="11907" w:h="16839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2021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2025-09-29T09:32:47Z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2025-10-13T11:27:15</vt:filetime>
  </property>
</Properties>
</file>